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96116" w14:textId="0E2532BE" w:rsidR="009D1DD4" w:rsidRDefault="001D3AD7" w:rsidP="000C2251">
      <w:pPr>
        <w:pStyle w:val="Heading1"/>
        <w:spacing w:before="75" w:line="252" w:lineRule="exact"/>
        <w:jc w:val="center"/>
      </w:pPr>
      <w:r w:rsidRPr="001D3AD7">
        <w:rPr>
          <w:highlight w:val="yellow"/>
        </w:rPr>
        <w:t>[ORGANIZATION]</w:t>
      </w:r>
    </w:p>
    <w:p w14:paraId="4418585F" w14:textId="77777777" w:rsidR="00774725" w:rsidRDefault="00774725" w:rsidP="000C2251">
      <w:pPr>
        <w:pStyle w:val="Heading1"/>
        <w:spacing w:before="75" w:line="252" w:lineRule="exact"/>
        <w:jc w:val="center"/>
      </w:pPr>
    </w:p>
    <w:p w14:paraId="72E1D62B" w14:textId="5CE21A78" w:rsidR="000C2251" w:rsidRDefault="000C2251" w:rsidP="000C2251">
      <w:pPr>
        <w:pStyle w:val="Heading1"/>
        <w:spacing w:before="75" w:line="252" w:lineRule="exact"/>
        <w:jc w:val="center"/>
      </w:pPr>
    </w:p>
    <w:p w14:paraId="691E4854" w14:textId="40D43A53" w:rsidR="000C2251" w:rsidRPr="000C2251" w:rsidRDefault="000C2251" w:rsidP="000C2251">
      <w:pPr>
        <w:pStyle w:val="Heading1"/>
        <w:spacing w:before="75" w:line="252" w:lineRule="exact"/>
        <w:rPr>
          <w:b w:val="0"/>
          <w:bCs w:val="0"/>
        </w:rPr>
      </w:pPr>
      <w:r w:rsidRPr="000C2251">
        <w:rPr>
          <w:b w:val="0"/>
          <w:bCs w:val="0"/>
        </w:rPr>
        <w:t>SUBJECT:</w:t>
      </w:r>
      <w:r w:rsidRPr="000C2251">
        <w:rPr>
          <w:b w:val="0"/>
          <w:bCs w:val="0"/>
        </w:rPr>
        <w:tab/>
      </w:r>
      <w:r w:rsidRPr="000C2251">
        <w:rPr>
          <w:b w:val="0"/>
          <w:bCs w:val="0"/>
        </w:rPr>
        <w:tab/>
        <w:t xml:space="preserve">Policy </w:t>
      </w:r>
      <w:r w:rsidR="000B3519">
        <w:rPr>
          <w:b w:val="0"/>
          <w:bCs w:val="0"/>
        </w:rPr>
        <w:t>on</w:t>
      </w:r>
      <w:bookmarkStart w:id="0" w:name="_GoBack"/>
      <w:bookmarkEnd w:id="0"/>
      <w:r w:rsidRPr="000C2251">
        <w:rPr>
          <w:b w:val="0"/>
          <w:bCs w:val="0"/>
        </w:rPr>
        <w:t xml:space="preserve"> Protecting Personally Identifiable Information</w:t>
      </w:r>
    </w:p>
    <w:p w14:paraId="47FC879D" w14:textId="459524AD" w:rsidR="000C2251" w:rsidRPr="000C2251" w:rsidRDefault="000C2251" w:rsidP="000C2251">
      <w:pPr>
        <w:pStyle w:val="Heading1"/>
        <w:spacing w:before="75" w:line="252" w:lineRule="exact"/>
        <w:rPr>
          <w:b w:val="0"/>
          <w:bCs w:val="0"/>
        </w:rPr>
      </w:pPr>
      <w:r w:rsidRPr="000C2251">
        <w:rPr>
          <w:b w:val="0"/>
          <w:bCs w:val="0"/>
        </w:rPr>
        <w:t>EFFECTIVE:</w:t>
      </w:r>
      <w:r w:rsidRPr="000C2251">
        <w:rPr>
          <w:b w:val="0"/>
          <w:bCs w:val="0"/>
        </w:rPr>
        <w:tab/>
      </w:r>
      <w:r w:rsidRPr="000C2251">
        <w:rPr>
          <w:b w:val="0"/>
          <w:bCs w:val="0"/>
        </w:rPr>
        <w:tab/>
      </w:r>
      <w:r w:rsidRPr="000C2251">
        <w:rPr>
          <w:b w:val="0"/>
          <w:bCs w:val="0"/>
          <w:highlight w:val="yellow"/>
        </w:rPr>
        <w:t>[DATE]</w:t>
      </w:r>
    </w:p>
    <w:p w14:paraId="05ACCC4E" w14:textId="5D0DFDD0" w:rsidR="000C2251" w:rsidRPr="000C2251" w:rsidRDefault="000C2251" w:rsidP="000C2251">
      <w:pPr>
        <w:pStyle w:val="Heading1"/>
        <w:spacing w:before="75" w:line="252" w:lineRule="exact"/>
        <w:rPr>
          <w:b w:val="0"/>
          <w:bCs w:val="0"/>
        </w:rPr>
      </w:pPr>
      <w:r w:rsidRPr="000C2251">
        <w:rPr>
          <w:b w:val="0"/>
          <w:bCs w:val="0"/>
        </w:rPr>
        <w:t>APPROVED:</w:t>
      </w:r>
      <w:r w:rsidRPr="000C2251">
        <w:rPr>
          <w:b w:val="0"/>
          <w:bCs w:val="0"/>
        </w:rPr>
        <w:tab/>
      </w:r>
      <w:r w:rsidRPr="000C2251">
        <w:rPr>
          <w:b w:val="0"/>
          <w:bCs w:val="0"/>
        </w:rPr>
        <w:tab/>
      </w:r>
      <w:r w:rsidRPr="000C2251">
        <w:rPr>
          <w:b w:val="0"/>
          <w:bCs w:val="0"/>
          <w:highlight w:val="yellow"/>
        </w:rPr>
        <w:t>[DATE]</w:t>
      </w:r>
    </w:p>
    <w:p w14:paraId="757EDFD8" w14:textId="77777777" w:rsidR="009D1DD4" w:rsidRDefault="009D1DD4">
      <w:pPr>
        <w:pStyle w:val="BodyText"/>
        <w:rPr>
          <w:b/>
          <w:sz w:val="24"/>
        </w:rPr>
      </w:pPr>
    </w:p>
    <w:p w14:paraId="1F5E468D" w14:textId="77777777" w:rsidR="009D1DD4" w:rsidRDefault="009D1DD4">
      <w:pPr>
        <w:pStyle w:val="BodyText"/>
        <w:spacing w:before="1"/>
        <w:rPr>
          <w:b/>
          <w:sz w:val="20"/>
        </w:rPr>
      </w:pPr>
    </w:p>
    <w:p w14:paraId="7EC5440B" w14:textId="08A6A4B0" w:rsidR="009D1DD4" w:rsidRPr="00495792" w:rsidRDefault="0048327A" w:rsidP="00495792">
      <w:pPr>
        <w:pStyle w:val="ListParagraph"/>
        <w:numPr>
          <w:ilvl w:val="0"/>
          <w:numId w:val="3"/>
        </w:numPr>
        <w:tabs>
          <w:tab w:val="left" w:pos="902"/>
          <w:tab w:val="left" w:pos="903"/>
        </w:tabs>
        <w:spacing w:before="1"/>
        <w:rPr>
          <w:b/>
        </w:rPr>
      </w:pPr>
      <w:r w:rsidRPr="00495792">
        <w:rPr>
          <w:b/>
        </w:rPr>
        <w:t>Protection of Client</w:t>
      </w:r>
      <w:r w:rsidRPr="00495792">
        <w:rPr>
          <w:b/>
          <w:spacing w:val="-5"/>
        </w:rPr>
        <w:t xml:space="preserve"> </w:t>
      </w:r>
      <w:r w:rsidRPr="00495792">
        <w:rPr>
          <w:b/>
        </w:rPr>
        <w:t>Information</w:t>
      </w:r>
    </w:p>
    <w:p w14:paraId="70D05C5E" w14:textId="77777777" w:rsidR="009D1DD4" w:rsidRDefault="009D1DD4">
      <w:pPr>
        <w:pStyle w:val="BodyText"/>
        <w:rPr>
          <w:b/>
        </w:rPr>
      </w:pPr>
    </w:p>
    <w:p w14:paraId="04748474" w14:textId="48D10EE8" w:rsidR="009D1DD4" w:rsidRDefault="001A4D38" w:rsidP="000C2251">
      <w:pPr>
        <w:pStyle w:val="BodyText"/>
        <w:ind w:right="225"/>
        <w:jc w:val="both"/>
      </w:pPr>
      <w:r w:rsidRPr="001D3AD7">
        <w:rPr>
          <w:highlight w:val="yellow"/>
        </w:rPr>
        <w:t>[ORGANIZATION</w:t>
      </w:r>
      <w:r>
        <w:t xml:space="preserve">] </w:t>
      </w:r>
      <w:r w:rsidR="0048327A">
        <w:t>employees, agents, and subcontractors (hereafter known as “staff”) shall not disclose any individually identifiable client information to any person other than for the purposes of providing the requested services to the client and meeting its obligations under a contract agreement.</w:t>
      </w:r>
    </w:p>
    <w:p w14:paraId="050A04D3" w14:textId="77777777" w:rsidR="009D1DD4" w:rsidRDefault="009D1DD4">
      <w:pPr>
        <w:pStyle w:val="BodyText"/>
      </w:pPr>
    </w:p>
    <w:p w14:paraId="6C67CC58" w14:textId="67650930" w:rsidR="009D1DD4" w:rsidRDefault="001A4D38" w:rsidP="000C2251">
      <w:pPr>
        <w:pStyle w:val="BodyText"/>
        <w:spacing w:before="1"/>
        <w:ind w:right="283"/>
      </w:pPr>
      <w:r w:rsidRPr="001D3AD7">
        <w:rPr>
          <w:highlight w:val="yellow"/>
        </w:rPr>
        <w:t>[ORGANIZATION</w:t>
      </w:r>
      <w:r>
        <w:t xml:space="preserve">] </w:t>
      </w:r>
      <w:r w:rsidR="0048327A">
        <w:t xml:space="preserve">staff are permitted to disclose individually identifiable client information only with the consent of the individual for the purposes of meeting </w:t>
      </w:r>
      <w:r w:rsidRPr="001D3AD7">
        <w:rPr>
          <w:highlight w:val="yellow"/>
        </w:rPr>
        <w:t>[ORGANIZATION</w:t>
      </w:r>
      <w:r w:rsidRPr="001A4D38">
        <w:rPr>
          <w:highlight w:val="yellow"/>
        </w:rPr>
        <w:t>]</w:t>
      </w:r>
      <w:r>
        <w:t xml:space="preserve">’s </w:t>
      </w:r>
      <w:r w:rsidR="0048327A">
        <w:t>obligations under the any contract agreement.</w:t>
      </w:r>
    </w:p>
    <w:p w14:paraId="651746ED" w14:textId="77777777" w:rsidR="009D1DD4" w:rsidRDefault="009D1DD4">
      <w:pPr>
        <w:pStyle w:val="BodyText"/>
        <w:spacing w:before="9"/>
        <w:rPr>
          <w:sz w:val="21"/>
        </w:rPr>
      </w:pPr>
    </w:p>
    <w:p w14:paraId="4908CEC9" w14:textId="77777777" w:rsidR="009D1DD4" w:rsidRDefault="0048327A" w:rsidP="000C2251">
      <w:pPr>
        <w:pStyle w:val="Heading1"/>
        <w:ind w:left="0"/>
      </w:pPr>
      <w:r>
        <w:t>Training</w:t>
      </w:r>
    </w:p>
    <w:p w14:paraId="6F7A7E01" w14:textId="77777777" w:rsidR="000C2251" w:rsidRDefault="000C2251" w:rsidP="000C2251">
      <w:pPr>
        <w:pStyle w:val="BodyText"/>
        <w:ind w:right="969"/>
        <w:rPr>
          <w:b/>
        </w:rPr>
      </w:pPr>
    </w:p>
    <w:p w14:paraId="62D09428" w14:textId="32B1F115" w:rsidR="009D1DD4" w:rsidRDefault="001A4D38" w:rsidP="000C2251">
      <w:pPr>
        <w:pStyle w:val="BodyText"/>
        <w:ind w:right="969"/>
      </w:pPr>
      <w:r w:rsidRPr="001D3AD7">
        <w:rPr>
          <w:highlight w:val="yellow"/>
        </w:rPr>
        <w:t>[ORGANIZATION</w:t>
      </w:r>
      <w:r w:rsidRPr="001A4D38">
        <w:rPr>
          <w:highlight w:val="yellow"/>
        </w:rPr>
        <w:t>]</w:t>
      </w:r>
      <w:r>
        <w:t xml:space="preserve"> </w:t>
      </w:r>
      <w:r w:rsidR="0048327A">
        <w:t>shall instruct all staff with access to client information regarding the content of this document at least annually and for all new staff.</w:t>
      </w:r>
    </w:p>
    <w:p w14:paraId="76D09F11" w14:textId="77777777" w:rsidR="009D1DD4" w:rsidRDefault="009D1DD4">
      <w:pPr>
        <w:pStyle w:val="BodyText"/>
        <w:spacing w:before="8"/>
        <w:rPr>
          <w:sz w:val="21"/>
        </w:rPr>
      </w:pPr>
    </w:p>
    <w:p w14:paraId="3C733587" w14:textId="77777777" w:rsidR="009D1DD4" w:rsidRDefault="0048327A" w:rsidP="000C2251">
      <w:pPr>
        <w:pStyle w:val="Heading1"/>
        <w:spacing w:before="1"/>
        <w:ind w:left="0"/>
      </w:pPr>
      <w:r>
        <w:t>Information Security Officer</w:t>
      </w:r>
    </w:p>
    <w:p w14:paraId="2AD95AAE" w14:textId="77777777" w:rsidR="009D1DD4" w:rsidRDefault="009D1DD4">
      <w:pPr>
        <w:pStyle w:val="BodyText"/>
        <w:spacing w:before="2"/>
        <w:rPr>
          <w:b/>
        </w:rPr>
      </w:pPr>
    </w:p>
    <w:p w14:paraId="6F78887E" w14:textId="0BA3B45C" w:rsidR="009D1DD4" w:rsidRDefault="001A4D38" w:rsidP="000C2251">
      <w:pPr>
        <w:pStyle w:val="BodyText"/>
        <w:ind w:right="334"/>
      </w:pPr>
      <w:r w:rsidRPr="001D3AD7">
        <w:rPr>
          <w:highlight w:val="yellow"/>
        </w:rPr>
        <w:t>[ORGANIZATION</w:t>
      </w:r>
      <w:r w:rsidRPr="001A4D38">
        <w:rPr>
          <w:highlight w:val="yellow"/>
        </w:rPr>
        <w:t>]</w:t>
      </w:r>
      <w:r w:rsidR="0048327A">
        <w:t xml:space="preserve">’s Director of Finance and Operations is designated as the Information Security Officer to oversee </w:t>
      </w:r>
      <w:r w:rsidRPr="001D3AD7">
        <w:rPr>
          <w:highlight w:val="yellow"/>
        </w:rPr>
        <w:t>[ORGANIZATION</w:t>
      </w:r>
      <w:r w:rsidRPr="001A4D38">
        <w:rPr>
          <w:highlight w:val="yellow"/>
        </w:rPr>
        <w:t>]</w:t>
      </w:r>
      <w:r w:rsidR="0048327A">
        <w:t>’s compliance with this policy.</w:t>
      </w:r>
    </w:p>
    <w:p w14:paraId="7E194E51" w14:textId="77777777" w:rsidR="009D1DD4" w:rsidRDefault="009D1DD4">
      <w:pPr>
        <w:pStyle w:val="BodyText"/>
        <w:spacing w:before="8"/>
        <w:rPr>
          <w:sz w:val="21"/>
        </w:rPr>
      </w:pPr>
    </w:p>
    <w:p w14:paraId="2BDE8611" w14:textId="77777777" w:rsidR="009D1DD4" w:rsidRDefault="0048327A" w:rsidP="000C2251">
      <w:pPr>
        <w:pStyle w:val="Heading1"/>
        <w:spacing w:before="1"/>
        <w:ind w:left="0"/>
      </w:pPr>
      <w:r>
        <w:t>Paper Document Controls</w:t>
      </w:r>
    </w:p>
    <w:p w14:paraId="59339A45" w14:textId="77777777" w:rsidR="000C2251" w:rsidRDefault="000C2251" w:rsidP="000C2251">
      <w:pPr>
        <w:pStyle w:val="BodyText"/>
        <w:ind w:right="309"/>
        <w:rPr>
          <w:b/>
        </w:rPr>
      </w:pPr>
    </w:p>
    <w:p w14:paraId="6D187301" w14:textId="4940E23A" w:rsidR="009D1DD4" w:rsidRDefault="0048327A" w:rsidP="000C2251">
      <w:pPr>
        <w:pStyle w:val="BodyText"/>
        <w:ind w:right="309"/>
      </w:pPr>
      <w:r>
        <w:rPr>
          <w:u w:val="single"/>
        </w:rPr>
        <w:t>Supervision of Information</w:t>
      </w:r>
      <w:r>
        <w:t>. Client information in paper form shall not be left unattended at any time, unless it is locked in a file cabinet.</w:t>
      </w:r>
    </w:p>
    <w:p w14:paraId="6BE95057" w14:textId="77777777" w:rsidR="000C2251" w:rsidRDefault="000C2251" w:rsidP="000C2251">
      <w:pPr>
        <w:pStyle w:val="BodyText"/>
        <w:ind w:right="151"/>
        <w:rPr>
          <w:sz w:val="21"/>
        </w:rPr>
      </w:pPr>
    </w:p>
    <w:p w14:paraId="601D59AB" w14:textId="2BB222AF" w:rsidR="009D1DD4" w:rsidRDefault="0048327A" w:rsidP="000C2251">
      <w:pPr>
        <w:pStyle w:val="BodyText"/>
        <w:ind w:right="151"/>
      </w:pPr>
      <w:r>
        <w:rPr>
          <w:u w:val="single"/>
        </w:rPr>
        <w:t>Escorting Visitors</w:t>
      </w:r>
      <w:r>
        <w:t>. Visitors to areas where the client information are contained shall be escorted and client information shall be kept out of sight while visitors are in the area.</w:t>
      </w:r>
    </w:p>
    <w:p w14:paraId="6105E4C3" w14:textId="77777777" w:rsidR="009D1DD4" w:rsidRDefault="009D1DD4">
      <w:pPr>
        <w:pStyle w:val="BodyText"/>
        <w:spacing w:before="11"/>
        <w:rPr>
          <w:sz w:val="21"/>
        </w:rPr>
      </w:pPr>
    </w:p>
    <w:p w14:paraId="3A25FF68" w14:textId="541D27CE" w:rsidR="009D1DD4" w:rsidRDefault="0048327A" w:rsidP="000C2251">
      <w:pPr>
        <w:pStyle w:val="BodyText"/>
        <w:ind w:right="261"/>
      </w:pPr>
      <w:r>
        <w:rPr>
          <w:u w:val="single"/>
        </w:rPr>
        <w:t>Removal of Information</w:t>
      </w:r>
      <w:r>
        <w:t xml:space="preserve">. Client information must not be removed from the premises of </w:t>
      </w:r>
      <w:r w:rsidR="001A4D38" w:rsidRPr="001D3AD7">
        <w:rPr>
          <w:highlight w:val="yellow"/>
        </w:rPr>
        <w:t>[ORGANIZATION</w:t>
      </w:r>
      <w:r w:rsidR="001A4D38" w:rsidRPr="001A4D38">
        <w:rPr>
          <w:highlight w:val="yellow"/>
        </w:rPr>
        <w:t>]</w:t>
      </w:r>
      <w:r w:rsidR="001A4D38">
        <w:t xml:space="preserve"> </w:t>
      </w:r>
      <w:r>
        <w:t>except for identified routine business purposes or with express written permission of the client.</w:t>
      </w:r>
    </w:p>
    <w:p w14:paraId="5EC40834" w14:textId="77777777" w:rsidR="009D1DD4" w:rsidRDefault="009D1DD4">
      <w:pPr>
        <w:pStyle w:val="BodyText"/>
        <w:spacing w:before="11"/>
        <w:rPr>
          <w:sz w:val="21"/>
        </w:rPr>
      </w:pPr>
    </w:p>
    <w:p w14:paraId="217BA169" w14:textId="77777777" w:rsidR="009D1DD4" w:rsidRDefault="0048327A" w:rsidP="000C2251">
      <w:pPr>
        <w:pStyle w:val="BodyText"/>
        <w:ind w:right="187"/>
      </w:pPr>
      <w:r>
        <w:rPr>
          <w:u w:val="single"/>
        </w:rPr>
        <w:t>Mailing</w:t>
      </w:r>
      <w:r>
        <w:t>. Paper copies of client information shall be mailed using a secure, bonded mail service, such as Federal Express, UPS, or by registered U.S. Postal Service</w:t>
      </w:r>
    </w:p>
    <w:p w14:paraId="1EEC0FEA" w14:textId="77777777" w:rsidR="009D1DD4" w:rsidRDefault="009D1DD4">
      <w:pPr>
        <w:pStyle w:val="BodyText"/>
        <w:spacing w:before="11"/>
        <w:rPr>
          <w:sz w:val="21"/>
        </w:rPr>
      </w:pPr>
    </w:p>
    <w:p w14:paraId="612B4485" w14:textId="77777777" w:rsidR="009D1DD4" w:rsidRDefault="0048327A" w:rsidP="000C2251">
      <w:pPr>
        <w:pStyle w:val="BodyText"/>
        <w:ind w:right="432"/>
      </w:pPr>
      <w:r>
        <w:rPr>
          <w:u w:val="single"/>
        </w:rPr>
        <w:t>Faxing</w:t>
      </w:r>
      <w:r>
        <w:t xml:space="preserve">. Client information that must be transmitted by fax shall require that staff confirms the recipient fax number before sending, and takes precautions to ensure that the fax </w:t>
      </w:r>
      <w:r>
        <w:rPr>
          <w:spacing w:val="-2"/>
        </w:rPr>
        <w:t xml:space="preserve">was </w:t>
      </w:r>
      <w:r>
        <w:t>appropriately</w:t>
      </w:r>
      <w:r>
        <w:rPr>
          <w:spacing w:val="-2"/>
        </w:rPr>
        <w:t xml:space="preserve"> </w:t>
      </w:r>
      <w:r>
        <w:t>received.</w:t>
      </w:r>
    </w:p>
    <w:p w14:paraId="53F08B37" w14:textId="77777777" w:rsidR="009D1DD4" w:rsidRDefault="009D1DD4">
      <w:pPr>
        <w:pStyle w:val="BodyText"/>
        <w:spacing w:before="9"/>
        <w:rPr>
          <w:sz w:val="21"/>
        </w:rPr>
      </w:pPr>
    </w:p>
    <w:p w14:paraId="4E19A235" w14:textId="77777777" w:rsidR="009D1DD4" w:rsidRDefault="0048327A" w:rsidP="000C2251">
      <w:pPr>
        <w:pStyle w:val="Heading1"/>
        <w:spacing w:before="1"/>
        <w:ind w:left="0"/>
      </w:pPr>
      <w:r>
        <w:t>Technology</w:t>
      </w:r>
      <w:r>
        <w:rPr>
          <w:spacing w:val="-8"/>
        </w:rPr>
        <w:t xml:space="preserve"> </w:t>
      </w:r>
      <w:r>
        <w:t>Controls</w:t>
      </w:r>
    </w:p>
    <w:p w14:paraId="4870B44E" w14:textId="77777777" w:rsidR="009D1DD4" w:rsidRDefault="009D1DD4">
      <w:pPr>
        <w:pStyle w:val="BodyText"/>
        <w:rPr>
          <w:b/>
        </w:rPr>
      </w:pPr>
    </w:p>
    <w:p w14:paraId="26C1E124" w14:textId="23295CF3" w:rsidR="009D1DD4" w:rsidRDefault="0048327A" w:rsidP="000C2251">
      <w:pPr>
        <w:pStyle w:val="BodyText"/>
        <w:ind w:right="109"/>
      </w:pPr>
      <w:r>
        <w:rPr>
          <w:u w:val="single"/>
        </w:rPr>
        <w:t>Workstation/Laptop Encryption</w:t>
      </w:r>
      <w:r>
        <w:rPr>
          <w:b/>
        </w:rPr>
        <w:t xml:space="preserve">. </w:t>
      </w:r>
      <w:r>
        <w:t xml:space="preserve">All </w:t>
      </w:r>
      <w:r w:rsidR="001A4D38" w:rsidRPr="001D3AD7">
        <w:rPr>
          <w:highlight w:val="yellow"/>
        </w:rPr>
        <w:t>[ORGANIZATION</w:t>
      </w:r>
      <w:r w:rsidR="001A4D38" w:rsidRPr="001A4D38">
        <w:rPr>
          <w:highlight w:val="yellow"/>
        </w:rPr>
        <w:t>]</w:t>
      </w:r>
      <w:r>
        <w:t>-owned or managed workstations, laptops, tablets, smart phones, and similar devices that process and/or store client information must be encrypted using algorithm which is 128 bit or higher. Any client information shall be encrypted</w:t>
      </w:r>
      <w:r>
        <w:rPr>
          <w:spacing w:val="-42"/>
        </w:rPr>
        <w:t xml:space="preserve"> </w:t>
      </w:r>
      <w:r>
        <w:t>at when stored on network file shares or document</w:t>
      </w:r>
      <w:r>
        <w:rPr>
          <w:spacing w:val="-9"/>
        </w:rPr>
        <w:t xml:space="preserve"> </w:t>
      </w:r>
      <w:r>
        <w:t>repositories.</w:t>
      </w:r>
    </w:p>
    <w:p w14:paraId="76E6DC85" w14:textId="77777777" w:rsidR="009D1DD4" w:rsidRDefault="009D1DD4">
      <w:pPr>
        <w:sectPr w:rsidR="009D1DD4">
          <w:type w:val="continuous"/>
          <w:pgSz w:w="12240" w:h="15840"/>
          <w:pgMar w:top="1360" w:right="1360" w:bottom="280" w:left="1320" w:header="720" w:footer="720" w:gutter="0"/>
          <w:cols w:space="720"/>
        </w:sectPr>
      </w:pPr>
    </w:p>
    <w:p w14:paraId="11A6CE3C" w14:textId="77777777" w:rsidR="009D1DD4" w:rsidRDefault="0048327A" w:rsidP="000C2251">
      <w:pPr>
        <w:pStyle w:val="BodyText"/>
        <w:spacing w:before="75"/>
        <w:ind w:right="592"/>
      </w:pPr>
      <w:r>
        <w:rPr>
          <w:u w:val="single"/>
        </w:rPr>
        <w:lastRenderedPageBreak/>
        <w:t>Removable Media Devices</w:t>
      </w:r>
      <w:r>
        <w:rPr>
          <w:b/>
        </w:rPr>
        <w:t xml:space="preserve">. </w:t>
      </w:r>
      <w:r>
        <w:t>All electronic files that contain the client information must be encrypted when stored on any removable media or portable device (i.e. USB thumb drives, floppies, CD/DVD, smart phone, backup tapes etc.)</w:t>
      </w:r>
    </w:p>
    <w:p w14:paraId="47428746" w14:textId="77777777" w:rsidR="009D1DD4" w:rsidRDefault="009D1DD4">
      <w:pPr>
        <w:pStyle w:val="BodyText"/>
        <w:spacing w:before="3"/>
      </w:pPr>
    </w:p>
    <w:p w14:paraId="5E4C5A1A" w14:textId="77777777" w:rsidR="009D1DD4" w:rsidRDefault="0048327A" w:rsidP="000C2251">
      <w:pPr>
        <w:pStyle w:val="BodyText"/>
        <w:ind w:right="458"/>
      </w:pPr>
      <w:r>
        <w:t>Only the minimum necessary amount of the client information required to perform necessary business functions may be copied, downloaded, or exported.</w:t>
      </w:r>
    </w:p>
    <w:p w14:paraId="322970D6" w14:textId="77777777" w:rsidR="009D1DD4" w:rsidRDefault="009D1DD4">
      <w:pPr>
        <w:pStyle w:val="BodyText"/>
        <w:spacing w:before="9"/>
        <w:rPr>
          <w:sz w:val="21"/>
        </w:rPr>
      </w:pPr>
    </w:p>
    <w:p w14:paraId="7ADA8FF7" w14:textId="12075C82" w:rsidR="009D1DD4" w:rsidRDefault="0048327A" w:rsidP="000C2251">
      <w:pPr>
        <w:pStyle w:val="BodyText"/>
        <w:ind w:right="407"/>
      </w:pPr>
      <w:r>
        <w:rPr>
          <w:u w:val="single"/>
        </w:rPr>
        <w:t>Antivirus Software</w:t>
      </w:r>
      <w:r>
        <w:rPr>
          <w:b/>
        </w:rPr>
        <w:t xml:space="preserve">. </w:t>
      </w:r>
      <w:r>
        <w:t xml:space="preserve">All </w:t>
      </w:r>
      <w:r w:rsidR="001A4D38" w:rsidRPr="001D3AD7">
        <w:rPr>
          <w:highlight w:val="yellow"/>
        </w:rPr>
        <w:t>[ORGANIZATION</w:t>
      </w:r>
      <w:r w:rsidR="001A4D38" w:rsidRPr="001A4D38">
        <w:rPr>
          <w:highlight w:val="yellow"/>
        </w:rPr>
        <w:t>]</w:t>
      </w:r>
      <w:r>
        <w:t>-owned or managed workstations, laptops, tablets, smart phones, and similar devices that process and/or store client information must install and actively use comprehensive anti-virus software solution.</w:t>
      </w:r>
    </w:p>
    <w:p w14:paraId="2DD1E8D9" w14:textId="77777777" w:rsidR="009D1DD4" w:rsidRDefault="009D1DD4">
      <w:pPr>
        <w:pStyle w:val="BodyText"/>
        <w:spacing w:before="10"/>
        <w:rPr>
          <w:sz w:val="21"/>
        </w:rPr>
      </w:pPr>
    </w:p>
    <w:p w14:paraId="68DE98E2" w14:textId="77777777" w:rsidR="009D1DD4" w:rsidRDefault="0048327A" w:rsidP="000C2251">
      <w:pPr>
        <w:pStyle w:val="BodyText"/>
        <w:spacing w:line="244" w:lineRule="auto"/>
      </w:pPr>
      <w:r>
        <w:rPr>
          <w:u w:val="single"/>
        </w:rPr>
        <w:t>User IDs and Password Controls</w:t>
      </w:r>
      <w:r>
        <w:rPr>
          <w:b/>
        </w:rPr>
        <w:t xml:space="preserve">. </w:t>
      </w:r>
      <w:r>
        <w:t>All users must be issued a unique user name for</w:t>
      </w:r>
      <w:r>
        <w:rPr>
          <w:spacing w:val="-37"/>
        </w:rPr>
        <w:t xml:space="preserve"> </w:t>
      </w:r>
      <w:r>
        <w:t>accessing client</w:t>
      </w:r>
      <w:r>
        <w:rPr>
          <w:spacing w:val="1"/>
        </w:rPr>
        <w:t xml:space="preserve"> </w:t>
      </w:r>
      <w:r>
        <w:t>information.</w:t>
      </w:r>
    </w:p>
    <w:p w14:paraId="3E9BFDF4" w14:textId="77777777" w:rsidR="009D1DD4" w:rsidRDefault="009D1DD4">
      <w:pPr>
        <w:pStyle w:val="BodyText"/>
        <w:spacing w:before="5"/>
        <w:rPr>
          <w:sz w:val="21"/>
        </w:rPr>
      </w:pPr>
    </w:p>
    <w:p w14:paraId="016A4A0B" w14:textId="77777777" w:rsidR="009D1DD4" w:rsidRDefault="0048327A" w:rsidP="000C2251">
      <w:pPr>
        <w:pStyle w:val="BodyText"/>
        <w:ind w:right="163"/>
      </w:pPr>
      <w:r>
        <w:t>The system will maintain an automated audit trail which can identify the user or system process which initiates a request for client information, or which alters client information. The audit trail will be date and time stamped, log both successful and failed accesses, and restricted to authorized users.</w:t>
      </w:r>
    </w:p>
    <w:p w14:paraId="65A737A6" w14:textId="77777777" w:rsidR="009D1DD4" w:rsidRDefault="009D1DD4">
      <w:pPr>
        <w:pStyle w:val="BodyText"/>
        <w:spacing w:before="9"/>
        <w:rPr>
          <w:sz w:val="21"/>
        </w:rPr>
      </w:pPr>
    </w:p>
    <w:p w14:paraId="5B0EC939" w14:textId="7AE253DF" w:rsidR="009D1DD4" w:rsidRDefault="0048327A" w:rsidP="000C2251">
      <w:pPr>
        <w:pStyle w:val="BodyText"/>
        <w:ind w:right="114"/>
      </w:pPr>
      <w:r>
        <w:rPr>
          <w:u w:val="single"/>
        </w:rPr>
        <w:t>Transmission Encryption</w:t>
      </w:r>
      <w:r>
        <w:rPr>
          <w:b/>
        </w:rPr>
        <w:t xml:space="preserve">. </w:t>
      </w:r>
      <w:r>
        <w:t xml:space="preserve">All data transmissions of client information by </w:t>
      </w:r>
      <w:r w:rsidR="001A4D38" w:rsidRPr="001D3AD7">
        <w:rPr>
          <w:highlight w:val="yellow"/>
        </w:rPr>
        <w:t>[ORGANIZATION</w:t>
      </w:r>
      <w:r w:rsidR="001A4D38" w:rsidRPr="001A4D38">
        <w:rPr>
          <w:highlight w:val="yellow"/>
        </w:rPr>
        <w:t>]</w:t>
      </w:r>
      <w:r w:rsidR="001A4D38">
        <w:t xml:space="preserve"> </w:t>
      </w:r>
      <w:r>
        <w:t>outside the secure internal network must be encrypted with a 128bit key or higher.</w:t>
      </w:r>
    </w:p>
    <w:p w14:paraId="614A86EB" w14:textId="77777777" w:rsidR="009D1DD4" w:rsidRDefault="0048327A" w:rsidP="000C2251">
      <w:pPr>
        <w:pStyle w:val="BodyText"/>
        <w:spacing w:before="3"/>
      </w:pPr>
      <w:r>
        <w:t>Encryption can be end to end at the network level, or the data files</w:t>
      </w:r>
    </w:p>
    <w:p w14:paraId="0326BED7" w14:textId="77777777" w:rsidR="009D1DD4" w:rsidRDefault="009D1DD4">
      <w:pPr>
        <w:pStyle w:val="BodyText"/>
        <w:spacing w:before="7"/>
        <w:rPr>
          <w:sz w:val="21"/>
        </w:rPr>
      </w:pPr>
    </w:p>
    <w:p w14:paraId="0073ECF1" w14:textId="0A4F9571" w:rsidR="009D1DD4" w:rsidRDefault="0048327A" w:rsidP="000C2251">
      <w:pPr>
        <w:pStyle w:val="Heading1"/>
        <w:ind w:left="0"/>
      </w:pPr>
      <w:r>
        <w:t xml:space="preserve">Requests for </w:t>
      </w:r>
      <w:r w:rsidR="003C6404">
        <w:t>C</w:t>
      </w:r>
      <w:r>
        <w:t xml:space="preserve">lient </w:t>
      </w:r>
      <w:r w:rsidR="003C6404">
        <w:t>I</w:t>
      </w:r>
      <w:r>
        <w:t>nformation by Third Parties</w:t>
      </w:r>
    </w:p>
    <w:p w14:paraId="7A557AD1" w14:textId="77777777" w:rsidR="009D1DD4" w:rsidRDefault="009D1DD4">
      <w:pPr>
        <w:pStyle w:val="BodyText"/>
        <w:spacing w:before="3"/>
        <w:rPr>
          <w:b/>
        </w:rPr>
      </w:pPr>
    </w:p>
    <w:p w14:paraId="3C55ADA4" w14:textId="6C8B116D" w:rsidR="009D1DD4" w:rsidRDefault="001A4D38" w:rsidP="000C2251">
      <w:pPr>
        <w:pStyle w:val="BodyText"/>
        <w:ind w:right="91"/>
      </w:pPr>
      <w:r w:rsidRPr="001D3AD7">
        <w:rPr>
          <w:highlight w:val="yellow"/>
        </w:rPr>
        <w:t>[ORGANIZATION</w:t>
      </w:r>
      <w:r w:rsidRPr="001A4D38">
        <w:rPr>
          <w:highlight w:val="yellow"/>
        </w:rPr>
        <w:t>]</w:t>
      </w:r>
      <w:r>
        <w:t xml:space="preserve"> </w:t>
      </w:r>
      <w:r w:rsidR="0048327A">
        <w:t>staff shall promptly inform the Information Security Officer all requests for disclosure of any client information requested by third parties. The Information Security Officer, in consultation with Program Directors, shall determine an appropriate response.</w:t>
      </w:r>
    </w:p>
    <w:p w14:paraId="3DF32DD7" w14:textId="77777777" w:rsidR="009D1DD4" w:rsidRDefault="009D1DD4">
      <w:pPr>
        <w:pStyle w:val="BodyText"/>
        <w:spacing w:before="1"/>
      </w:pPr>
    </w:p>
    <w:p w14:paraId="353272F6" w14:textId="0A69CA2C" w:rsidR="009D1DD4" w:rsidRDefault="001A4D38" w:rsidP="000C2251">
      <w:pPr>
        <w:pStyle w:val="BodyText"/>
      </w:pPr>
      <w:r w:rsidRPr="001D3AD7">
        <w:rPr>
          <w:highlight w:val="yellow"/>
        </w:rPr>
        <w:t>[ORGANIZATION</w:t>
      </w:r>
      <w:r w:rsidRPr="001A4D38">
        <w:rPr>
          <w:highlight w:val="yellow"/>
        </w:rPr>
        <w:t>]</w:t>
      </w:r>
      <w:r>
        <w:t xml:space="preserve"> </w:t>
      </w:r>
      <w:r w:rsidR="0048327A">
        <w:t>shall maintain an accurate accounting of all requests for disclosure of client information.</w:t>
      </w:r>
    </w:p>
    <w:p w14:paraId="6B7129BF" w14:textId="77777777" w:rsidR="009D1DD4" w:rsidRDefault="009D1DD4">
      <w:pPr>
        <w:pStyle w:val="BodyText"/>
        <w:spacing w:before="9"/>
        <w:rPr>
          <w:sz w:val="21"/>
        </w:rPr>
      </w:pPr>
    </w:p>
    <w:p w14:paraId="6F5B712E" w14:textId="09970873" w:rsidR="009D1DD4" w:rsidRDefault="0048327A" w:rsidP="000C2251">
      <w:pPr>
        <w:pStyle w:val="Heading1"/>
        <w:ind w:left="0"/>
      </w:pPr>
      <w:r>
        <w:t xml:space="preserve">Destruction of </w:t>
      </w:r>
      <w:r w:rsidR="003C6404">
        <w:t>C</w:t>
      </w:r>
      <w:r>
        <w:t xml:space="preserve">lient </w:t>
      </w:r>
      <w:r w:rsidR="003C6404">
        <w:t>I</w:t>
      </w:r>
      <w:r>
        <w:t>nformation</w:t>
      </w:r>
    </w:p>
    <w:p w14:paraId="2211E806" w14:textId="77777777" w:rsidR="009D1DD4" w:rsidRDefault="009D1DD4">
      <w:pPr>
        <w:pStyle w:val="BodyText"/>
        <w:rPr>
          <w:b/>
        </w:rPr>
      </w:pPr>
    </w:p>
    <w:p w14:paraId="23FF00D4" w14:textId="31252539" w:rsidR="009D1DD4" w:rsidRDefault="001A4D38" w:rsidP="000C2251">
      <w:pPr>
        <w:pStyle w:val="BodyText"/>
        <w:ind w:right="114"/>
      </w:pPr>
      <w:r w:rsidRPr="001D3AD7">
        <w:rPr>
          <w:highlight w:val="yellow"/>
        </w:rPr>
        <w:t>[ORGANIZATION</w:t>
      </w:r>
      <w:r w:rsidRPr="001A4D38">
        <w:rPr>
          <w:highlight w:val="yellow"/>
        </w:rPr>
        <w:t>]</w:t>
      </w:r>
      <w:r>
        <w:t xml:space="preserve"> </w:t>
      </w:r>
      <w:r w:rsidR="0048327A">
        <w:t xml:space="preserve">shall retain client documents only for as long as is required by contract agreement or local, state or federal law and in accordance with </w:t>
      </w:r>
      <w:r w:rsidRPr="001D3AD7">
        <w:rPr>
          <w:highlight w:val="yellow"/>
        </w:rPr>
        <w:t>[ORGANIZATION</w:t>
      </w:r>
      <w:r w:rsidRPr="001A4D38">
        <w:rPr>
          <w:highlight w:val="yellow"/>
        </w:rPr>
        <w:t>]</w:t>
      </w:r>
      <w:r w:rsidR="0048327A">
        <w:t>’s Document Retention policy. All client documents not required for retention will be promptly destroyed.</w:t>
      </w:r>
    </w:p>
    <w:p w14:paraId="08CF85E8" w14:textId="77777777" w:rsidR="009D1DD4" w:rsidRDefault="009D1DD4">
      <w:pPr>
        <w:pStyle w:val="BodyText"/>
        <w:spacing w:before="2"/>
      </w:pPr>
    </w:p>
    <w:p w14:paraId="1C50D44C" w14:textId="3E525FF7" w:rsidR="009D1DD4" w:rsidRDefault="0048327A" w:rsidP="000C2251">
      <w:pPr>
        <w:pStyle w:val="BodyText"/>
        <w:ind w:right="456"/>
      </w:pPr>
      <w:r>
        <w:rPr>
          <w:u w:val="single"/>
        </w:rPr>
        <w:t>Confidential Destruction</w:t>
      </w:r>
      <w:r>
        <w:t>. Client information must be disposed of through confidential means, such as cross</w:t>
      </w:r>
      <w:r w:rsidR="00495792">
        <w:t>-</w:t>
      </w:r>
      <w:r>
        <w:t>cut shredding, or through certified third party vendors.</w:t>
      </w:r>
    </w:p>
    <w:p w14:paraId="63ED383B" w14:textId="77777777" w:rsidR="009D1DD4" w:rsidRDefault="009D1DD4">
      <w:pPr>
        <w:pStyle w:val="BodyText"/>
        <w:rPr>
          <w:sz w:val="24"/>
        </w:rPr>
      </w:pPr>
    </w:p>
    <w:p w14:paraId="1E931A5C" w14:textId="77777777" w:rsidR="009D1DD4" w:rsidRDefault="009D1DD4">
      <w:pPr>
        <w:pStyle w:val="BodyText"/>
        <w:spacing w:before="10"/>
        <w:rPr>
          <w:sz w:val="19"/>
        </w:rPr>
      </w:pPr>
    </w:p>
    <w:p w14:paraId="0C66F69E" w14:textId="77777777" w:rsidR="009D1DD4" w:rsidRDefault="0048327A" w:rsidP="000C2251">
      <w:pPr>
        <w:pStyle w:val="Heading1"/>
        <w:ind w:left="0"/>
      </w:pPr>
      <w:r>
        <w:t>Information Security Incidents and/or Breaches</w:t>
      </w:r>
    </w:p>
    <w:p w14:paraId="650FD1E7" w14:textId="77777777" w:rsidR="009D1DD4" w:rsidRDefault="009D1DD4">
      <w:pPr>
        <w:pStyle w:val="BodyText"/>
        <w:spacing w:before="3"/>
        <w:rPr>
          <w:b/>
        </w:rPr>
      </w:pPr>
    </w:p>
    <w:p w14:paraId="2AF48833" w14:textId="77777777" w:rsidR="009D1DD4" w:rsidRDefault="0048327A" w:rsidP="000C2251">
      <w:pPr>
        <w:pStyle w:val="BodyText"/>
        <w:ind w:right="103"/>
      </w:pPr>
      <w:r>
        <w:rPr>
          <w:u w:val="single"/>
        </w:rPr>
        <w:t>Discovery and Notification of Information Security Incidents</w:t>
      </w:r>
      <w:r>
        <w:t>. Staff shall notify the Information Security Officer immediately upon the discovery of the information security Incident affecting the security of client information, or there is an intrusion, potential loss, actual loss, or unauthorized use or disclosure of the client information.</w:t>
      </w:r>
    </w:p>
    <w:p w14:paraId="0219DAFB" w14:textId="77777777" w:rsidR="009D1DD4" w:rsidRDefault="009D1DD4">
      <w:pPr>
        <w:pStyle w:val="BodyText"/>
      </w:pPr>
    </w:p>
    <w:p w14:paraId="34F2897B" w14:textId="77777777" w:rsidR="009D1DD4" w:rsidRDefault="0048327A" w:rsidP="000C2251">
      <w:pPr>
        <w:pStyle w:val="BodyText"/>
        <w:ind w:right="164"/>
      </w:pPr>
      <w:r>
        <w:t>The Information Security Officer shall document all corrective actions taken to mitigate the risks or damages involved with the Information Security Incident and/or Breach and to protect the operating environment.</w:t>
      </w:r>
    </w:p>
    <w:p w14:paraId="5790F34D" w14:textId="77777777" w:rsidR="009D1DD4" w:rsidRDefault="009D1DD4">
      <w:pPr>
        <w:sectPr w:rsidR="009D1DD4">
          <w:pgSz w:w="12240" w:h="15840"/>
          <w:pgMar w:top="1360" w:right="1360" w:bottom="280" w:left="1320" w:header="720" w:footer="720" w:gutter="0"/>
          <w:cols w:space="720"/>
        </w:sectPr>
      </w:pPr>
    </w:p>
    <w:p w14:paraId="6ED2A39E" w14:textId="77777777" w:rsidR="009D1DD4" w:rsidRDefault="0048327A" w:rsidP="000C2251">
      <w:pPr>
        <w:pStyle w:val="BodyText"/>
        <w:spacing w:before="187" w:line="242" w:lineRule="auto"/>
        <w:ind w:right="127"/>
      </w:pPr>
      <w:r>
        <w:rPr>
          <w:u w:val="single"/>
        </w:rPr>
        <w:lastRenderedPageBreak/>
        <w:t>Isolation of System or Device</w:t>
      </w:r>
      <w:r>
        <w:rPr>
          <w:b/>
        </w:rPr>
        <w:t xml:space="preserve">. </w:t>
      </w:r>
      <w:r>
        <w:t>A system or device containing client information compromised by an exploitation of a technical vulnerability shall be promptly disconnected or quarantined and investigated until the vulnerability is resolved.</w:t>
      </w:r>
    </w:p>
    <w:p w14:paraId="21DBCBA7" w14:textId="77777777" w:rsidR="009D1DD4" w:rsidRDefault="009D1DD4">
      <w:pPr>
        <w:pStyle w:val="BodyText"/>
        <w:spacing w:before="7"/>
        <w:rPr>
          <w:sz w:val="21"/>
        </w:rPr>
      </w:pPr>
    </w:p>
    <w:p w14:paraId="082084D6" w14:textId="6FF5F229" w:rsidR="009D1DD4" w:rsidRDefault="0048327A" w:rsidP="000C2251">
      <w:pPr>
        <w:pStyle w:val="BodyText"/>
        <w:ind w:right="223"/>
      </w:pPr>
      <w:r>
        <w:rPr>
          <w:u w:val="single"/>
        </w:rPr>
        <w:t>Investigation of Information Security Incidents</w:t>
      </w:r>
      <w:r>
        <w:t xml:space="preserve">. </w:t>
      </w:r>
      <w:r w:rsidR="001A4D38" w:rsidRPr="001D3AD7">
        <w:rPr>
          <w:highlight w:val="yellow"/>
        </w:rPr>
        <w:t>[ORGANIZATION</w:t>
      </w:r>
      <w:r w:rsidR="001A4D38" w:rsidRPr="001A4D38">
        <w:rPr>
          <w:highlight w:val="yellow"/>
        </w:rPr>
        <w:t>]</w:t>
      </w:r>
      <w:r w:rsidR="001A4D38">
        <w:t xml:space="preserve"> </w:t>
      </w:r>
      <w:r>
        <w:t>shall promptly investigate information security incidents and produce a written report of the investigation, to include but not be limited to the following:</w:t>
      </w:r>
    </w:p>
    <w:p w14:paraId="6294BDF0" w14:textId="77777777" w:rsidR="009D1DD4" w:rsidRDefault="0048327A">
      <w:pPr>
        <w:pStyle w:val="ListParagraph"/>
        <w:numPr>
          <w:ilvl w:val="0"/>
          <w:numId w:val="1"/>
        </w:numPr>
        <w:tabs>
          <w:tab w:val="left" w:pos="840"/>
          <w:tab w:val="left" w:pos="841"/>
        </w:tabs>
        <w:spacing w:before="4" w:line="237" w:lineRule="auto"/>
        <w:ind w:right="630" w:hanging="360"/>
      </w:pPr>
      <w:r>
        <w:t>Description of what happened, including the date of the incident and the date of the discovery of the incident and/or Breach, if</w:t>
      </w:r>
      <w:r>
        <w:rPr>
          <w:spacing w:val="-3"/>
        </w:rPr>
        <w:t xml:space="preserve"> </w:t>
      </w:r>
      <w:r>
        <w:t>known;</w:t>
      </w:r>
    </w:p>
    <w:p w14:paraId="7F4782DD" w14:textId="77777777" w:rsidR="009D1DD4" w:rsidRDefault="0048327A">
      <w:pPr>
        <w:pStyle w:val="ListParagraph"/>
        <w:numPr>
          <w:ilvl w:val="0"/>
          <w:numId w:val="1"/>
        </w:numPr>
        <w:tabs>
          <w:tab w:val="left" w:pos="840"/>
          <w:tab w:val="left" w:pos="841"/>
        </w:tabs>
        <w:spacing w:before="3" w:line="237" w:lineRule="auto"/>
        <w:ind w:right="545" w:hanging="360"/>
      </w:pPr>
      <w:r>
        <w:t>Description of the types of client information that were involved and the extent of the information</w:t>
      </w:r>
      <w:r>
        <w:rPr>
          <w:spacing w:val="-1"/>
        </w:rPr>
        <w:t xml:space="preserve"> </w:t>
      </w:r>
      <w:r>
        <w:t>involved;</w:t>
      </w:r>
    </w:p>
    <w:p w14:paraId="757460F4" w14:textId="77777777" w:rsidR="009D1DD4" w:rsidRDefault="0048327A">
      <w:pPr>
        <w:pStyle w:val="ListParagraph"/>
        <w:numPr>
          <w:ilvl w:val="0"/>
          <w:numId w:val="1"/>
        </w:numPr>
        <w:tabs>
          <w:tab w:val="left" w:pos="840"/>
          <w:tab w:val="left" w:pos="841"/>
        </w:tabs>
        <w:spacing w:before="4" w:line="237" w:lineRule="auto"/>
        <w:ind w:right="903" w:hanging="360"/>
      </w:pPr>
      <w:r>
        <w:t>A description of the unauthorized persons known or reasonably believed to have improperly used or disclosed client information;</w:t>
      </w:r>
    </w:p>
    <w:p w14:paraId="0CB85679" w14:textId="77777777" w:rsidR="009D1DD4" w:rsidRDefault="0048327A">
      <w:pPr>
        <w:pStyle w:val="ListParagraph"/>
        <w:numPr>
          <w:ilvl w:val="0"/>
          <w:numId w:val="1"/>
        </w:numPr>
        <w:tabs>
          <w:tab w:val="left" w:pos="840"/>
          <w:tab w:val="left" w:pos="841"/>
        </w:tabs>
        <w:spacing w:before="3" w:line="237" w:lineRule="auto"/>
        <w:ind w:right="927" w:hanging="360"/>
      </w:pPr>
      <w:r>
        <w:t>A description of where the client information is believed to have been improperly transmitted, sent, or</w:t>
      </w:r>
      <w:r>
        <w:rPr>
          <w:spacing w:val="2"/>
        </w:rPr>
        <w:t xml:space="preserve"> </w:t>
      </w:r>
      <w:r>
        <w:t>utilized;</w:t>
      </w:r>
    </w:p>
    <w:p w14:paraId="16DA0DBE" w14:textId="77777777" w:rsidR="009D1DD4" w:rsidRDefault="0048327A">
      <w:pPr>
        <w:pStyle w:val="ListParagraph"/>
        <w:numPr>
          <w:ilvl w:val="0"/>
          <w:numId w:val="1"/>
        </w:numPr>
        <w:tabs>
          <w:tab w:val="left" w:pos="840"/>
          <w:tab w:val="left" w:pos="841"/>
        </w:tabs>
        <w:spacing w:before="1" w:line="268" w:lineRule="exact"/>
        <w:ind w:hanging="360"/>
      </w:pPr>
      <w:r>
        <w:t>A description of the probable causes of the improper use or</w:t>
      </w:r>
      <w:r>
        <w:rPr>
          <w:spacing w:val="-10"/>
        </w:rPr>
        <w:t xml:space="preserve"> </w:t>
      </w:r>
      <w:r>
        <w:t>disclosure;</w:t>
      </w:r>
    </w:p>
    <w:p w14:paraId="464DE4D3" w14:textId="77777777" w:rsidR="009D1DD4" w:rsidRDefault="0048327A">
      <w:pPr>
        <w:pStyle w:val="ListParagraph"/>
        <w:numPr>
          <w:ilvl w:val="0"/>
          <w:numId w:val="1"/>
        </w:numPr>
        <w:tabs>
          <w:tab w:val="left" w:pos="840"/>
          <w:tab w:val="left" w:pos="841"/>
        </w:tabs>
        <w:spacing w:before="1" w:line="237" w:lineRule="auto"/>
        <w:ind w:left="841" w:right="288"/>
      </w:pPr>
      <w:r>
        <w:t>Full, detailed corrective action plan, including information on measures that were taken to halt and/or contain the information security</w:t>
      </w:r>
      <w:r>
        <w:rPr>
          <w:spacing w:val="-11"/>
        </w:rPr>
        <w:t xml:space="preserve"> </w:t>
      </w:r>
      <w:r>
        <w:t>incident.</w:t>
      </w:r>
    </w:p>
    <w:p w14:paraId="35505256" w14:textId="77777777" w:rsidR="009D1DD4" w:rsidRDefault="009D1DD4">
      <w:pPr>
        <w:pStyle w:val="BodyText"/>
        <w:rPr>
          <w:sz w:val="24"/>
        </w:rPr>
      </w:pPr>
    </w:p>
    <w:p w14:paraId="6573855B" w14:textId="77777777" w:rsidR="009D1DD4" w:rsidRDefault="009D1DD4">
      <w:pPr>
        <w:pStyle w:val="BodyText"/>
        <w:spacing w:before="11"/>
        <w:rPr>
          <w:sz w:val="19"/>
        </w:rPr>
      </w:pPr>
    </w:p>
    <w:p w14:paraId="1BCFE547" w14:textId="3632C48D" w:rsidR="009D1DD4" w:rsidRDefault="0048327A" w:rsidP="00495792">
      <w:pPr>
        <w:pStyle w:val="Heading1"/>
        <w:numPr>
          <w:ilvl w:val="0"/>
          <w:numId w:val="3"/>
        </w:numPr>
        <w:tabs>
          <w:tab w:val="left" w:pos="841"/>
        </w:tabs>
      </w:pPr>
      <w:r>
        <w:t>Protection of Confidential Information of Employees, Agents, and</w:t>
      </w:r>
      <w:r>
        <w:rPr>
          <w:spacing w:val="-21"/>
        </w:rPr>
        <w:t xml:space="preserve"> </w:t>
      </w:r>
      <w:r>
        <w:t>Subcontractors</w:t>
      </w:r>
    </w:p>
    <w:p w14:paraId="119B99E1" w14:textId="77777777" w:rsidR="009D1DD4" w:rsidRDefault="009D1DD4">
      <w:pPr>
        <w:pStyle w:val="BodyText"/>
        <w:rPr>
          <w:b/>
        </w:rPr>
      </w:pPr>
    </w:p>
    <w:p w14:paraId="196B1259" w14:textId="1371D886" w:rsidR="009D1DD4" w:rsidRDefault="001A4D38">
      <w:pPr>
        <w:pStyle w:val="BodyText"/>
        <w:ind w:left="120" w:right="309"/>
      </w:pPr>
      <w:r w:rsidRPr="001D3AD7">
        <w:rPr>
          <w:highlight w:val="yellow"/>
        </w:rPr>
        <w:t>[ORGANIZATION</w:t>
      </w:r>
      <w:r w:rsidRPr="001A4D38">
        <w:rPr>
          <w:highlight w:val="yellow"/>
        </w:rPr>
        <w:t>]</w:t>
      </w:r>
      <w:r>
        <w:t xml:space="preserve"> </w:t>
      </w:r>
      <w:r w:rsidR="0048327A">
        <w:t xml:space="preserve">employees with access records of </w:t>
      </w:r>
      <w:r w:rsidRPr="001D3AD7">
        <w:rPr>
          <w:highlight w:val="yellow"/>
        </w:rPr>
        <w:t>[ORGANIZATION</w:t>
      </w:r>
      <w:r w:rsidRPr="001A4D38">
        <w:rPr>
          <w:highlight w:val="yellow"/>
        </w:rPr>
        <w:t>]</w:t>
      </w:r>
      <w:r>
        <w:t xml:space="preserve"> </w:t>
      </w:r>
      <w:r w:rsidR="0048327A">
        <w:t xml:space="preserve">employees, agents, and subcontractors shall not disclose any confidential information pertaining to </w:t>
      </w:r>
      <w:r w:rsidRPr="001D3AD7">
        <w:rPr>
          <w:highlight w:val="yellow"/>
        </w:rPr>
        <w:t>[ORGANIZATION</w:t>
      </w:r>
      <w:r w:rsidRPr="001A4D38">
        <w:rPr>
          <w:highlight w:val="yellow"/>
        </w:rPr>
        <w:t>]</w:t>
      </w:r>
      <w:r>
        <w:t xml:space="preserve"> </w:t>
      </w:r>
      <w:r w:rsidR="0048327A">
        <w:t>other than for the administration of human resources and contractual and volunteer agreements. The same precautions in protecting client information shall be followed in protecting confidential staff information.</w:t>
      </w:r>
    </w:p>
    <w:p w14:paraId="3BABB05B" w14:textId="77777777" w:rsidR="009D1DD4" w:rsidRDefault="009D1DD4">
      <w:pPr>
        <w:pStyle w:val="BodyText"/>
      </w:pPr>
    </w:p>
    <w:p w14:paraId="44996C99" w14:textId="77777777" w:rsidR="009D1DD4" w:rsidRDefault="0048327A">
      <w:pPr>
        <w:pStyle w:val="BodyText"/>
        <w:ind w:left="120" w:right="994"/>
      </w:pPr>
      <w:r>
        <w:t>While all individually identifiable client information is considered to be confidential, staff information that is confidential includes but is not limited to:</w:t>
      </w:r>
    </w:p>
    <w:p w14:paraId="4CE805BE" w14:textId="77777777" w:rsidR="009D1DD4" w:rsidRDefault="0048327A">
      <w:pPr>
        <w:pStyle w:val="ListParagraph"/>
        <w:numPr>
          <w:ilvl w:val="0"/>
          <w:numId w:val="1"/>
        </w:numPr>
        <w:tabs>
          <w:tab w:val="left" w:pos="840"/>
          <w:tab w:val="left" w:pos="841"/>
        </w:tabs>
        <w:spacing w:before="4" w:line="237" w:lineRule="auto"/>
        <w:ind w:right="303" w:hanging="360"/>
      </w:pPr>
      <w:r>
        <w:t>Personal information, including home address, personal phone number, social security number, immigration status, and marital status</w:t>
      </w:r>
    </w:p>
    <w:p w14:paraId="7C3133E5" w14:textId="77777777" w:rsidR="009D1DD4" w:rsidRDefault="0048327A">
      <w:pPr>
        <w:pStyle w:val="ListParagraph"/>
        <w:numPr>
          <w:ilvl w:val="0"/>
          <w:numId w:val="1"/>
        </w:numPr>
        <w:tabs>
          <w:tab w:val="left" w:pos="840"/>
          <w:tab w:val="left" w:pos="841"/>
        </w:tabs>
        <w:spacing w:before="1" w:line="268" w:lineRule="exact"/>
        <w:ind w:left="841"/>
      </w:pPr>
      <w:r>
        <w:t>Employment and salary</w:t>
      </w:r>
      <w:r>
        <w:rPr>
          <w:spacing w:val="-5"/>
        </w:rPr>
        <w:t xml:space="preserve"> </w:t>
      </w:r>
      <w:r>
        <w:t>history</w:t>
      </w:r>
    </w:p>
    <w:p w14:paraId="06A0CB49" w14:textId="77777777" w:rsidR="009D1DD4" w:rsidRDefault="0048327A">
      <w:pPr>
        <w:pStyle w:val="ListParagraph"/>
        <w:numPr>
          <w:ilvl w:val="0"/>
          <w:numId w:val="1"/>
        </w:numPr>
        <w:tabs>
          <w:tab w:val="left" w:pos="841"/>
          <w:tab w:val="left" w:pos="842"/>
        </w:tabs>
        <w:spacing w:line="268" w:lineRule="exact"/>
        <w:ind w:left="841" w:hanging="360"/>
      </w:pPr>
      <w:r>
        <w:t>Employment benefits received and information to establish benefits</w:t>
      </w:r>
      <w:r>
        <w:rPr>
          <w:spacing w:val="-11"/>
        </w:rPr>
        <w:t xml:space="preserve"> </w:t>
      </w:r>
      <w:r>
        <w:t>eligibility</w:t>
      </w:r>
    </w:p>
    <w:p w14:paraId="61A362FE" w14:textId="77777777" w:rsidR="009D1DD4" w:rsidRDefault="0048327A">
      <w:pPr>
        <w:pStyle w:val="ListParagraph"/>
        <w:numPr>
          <w:ilvl w:val="0"/>
          <w:numId w:val="1"/>
        </w:numPr>
        <w:tabs>
          <w:tab w:val="left" w:pos="841"/>
          <w:tab w:val="left" w:pos="842"/>
        </w:tabs>
        <w:spacing w:line="269" w:lineRule="exact"/>
        <w:ind w:left="841" w:hanging="360"/>
      </w:pPr>
      <w:r>
        <w:t>Performance reviews and disciplinary</w:t>
      </w:r>
      <w:r>
        <w:rPr>
          <w:spacing w:val="-5"/>
        </w:rPr>
        <w:t xml:space="preserve"> </w:t>
      </w:r>
      <w:r>
        <w:t>actions</w:t>
      </w:r>
    </w:p>
    <w:p w14:paraId="5419A24F" w14:textId="77777777" w:rsidR="009D1DD4" w:rsidRDefault="009D1DD4">
      <w:pPr>
        <w:pStyle w:val="BodyText"/>
        <w:spacing w:before="8"/>
        <w:rPr>
          <w:sz w:val="21"/>
        </w:rPr>
      </w:pPr>
    </w:p>
    <w:p w14:paraId="76748A16" w14:textId="77777777" w:rsidR="009D1DD4" w:rsidRDefault="0048327A">
      <w:pPr>
        <w:pStyle w:val="BodyText"/>
        <w:ind w:left="121"/>
      </w:pPr>
      <w:r>
        <w:t>Only the following employees shall have access to confidential staff information:</w:t>
      </w:r>
    </w:p>
    <w:p w14:paraId="6FE26294" w14:textId="2E047982" w:rsidR="009D1DD4" w:rsidRDefault="001A4D38">
      <w:pPr>
        <w:pStyle w:val="ListParagraph"/>
        <w:numPr>
          <w:ilvl w:val="0"/>
          <w:numId w:val="1"/>
        </w:numPr>
        <w:tabs>
          <w:tab w:val="left" w:pos="841"/>
          <w:tab w:val="left" w:pos="842"/>
        </w:tabs>
        <w:spacing w:before="1" w:line="269" w:lineRule="exact"/>
        <w:ind w:left="841" w:hanging="360"/>
      </w:pPr>
      <w:r w:rsidRPr="001D3AD7">
        <w:rPr>
          <w:highlight w:val="yellow"/>
        </w:rPr>
        <w:t>[ORGANIZATION</w:t>
      </w:r>
      <w:r w:rsidRPr="001A4D38">
        <w:rPr>
          <w:highlight w:val="yellow"/>
        </w:rPr>
        <w:t>]</w:t>
      </w:r>
      <w:r>
        <w:t xml:space="preserve"> </w:t>
      </w:r>
      <w:r w:rsidR="000C2251">
        <w:t>Executive Director</w:t>
      </w:r>
    </w:p>
    <w:p w14:paraId="5AECB9E1" w14:textId="77777777" w:rsidR="009D1DD4" w:rsidRDefault="0048327A">
      <w:pPr>
        <w:pStyle w:val="ListParagraph"/>
        <w:numPr>
          <w:ilvl w:val="0"/>
          <w:numId w:val="1"/>
        </w:numPr>
        <w:tabs>
          <w:tab w:val="left" w:pos="841"/>
          <w:tab w:val="left" w:pos="842"/>
        </w:tabs>
        <w:spacing w:line="269" w:lineRule="exact"/>
        <w:ind w:left="841" w:hanging="360"/>
      </w:pPr>
      <w:r>
        <w:t>Director of Finance and</w:t>
      </w:r>
      <w:r>
        <w:rPr>
          <w:spacing w:val="-4"/>
        </w:rPr>
        <w:t xml:space="preserve"> </w:t>
      </w:r>
      <w:r>
        <w:t>Operations</w:t>
      </w:r>
    </w:p>
    <w:p w14:paraId="46A3DF27" w14:textId="77777777" w:rsidR="009D1DD4" w:rsidRDefault="0048327A">
      <w:pPr>
        <w:pStyle w:val="ListParagraph"/>
        <w:numPr>
          <w:ilvl w:val="0"/>
          <w:numId w:val="1"/>
        </w:numPr>
        <w:tabs>
          <w:tab w:val="left" w:pos="842"/>
          <w:tab w:val="left" w:pos="843"/>
        </w:tabs>
        <w:spacing w:line="269" w:lineRule="exact"/>
        <w:ind w:left="842"/>
      </w:pPr>
      <w:r>
        <w:t>Administration Manager with responsibility in human</w:t>
      </w:r>
      <w:r>
        <w:rPr>
          <w:spacing w:val="-8"/>
        </w:rPr>
        <w:t xml:space="preserve"> </w:t>
      </w:r>
      <w:r>
        <w:t>resources</w:t>
      </w:r>
    </w:p>
    <w:p w14:paraId="17B4C305" w14:textId="77777777" w:rsidR="009D1DD4" w:rsidRDefault="009D1DD4">
      <w:pPr>
        <w:pStyle w:val="BodyText"/>
        <w:rPr>
          <w:sz w:val="20"/>
        </w:rPr>
      </w:pPr>
    </w:p>
    <w:p w14:paraId="0CAA6738" w14:textId="77777777" w:rsidR="009D1DD4" w:rsidRDefault="009D1DD4">
      <w:pPr>
        <w:pStyle w:val="BodyText"/>
        <w:rPr>
          <w:sz w:val="20"/>
        </w:rPr>
      </w:pPr>
    </w:p>
    <w:p w14:paraId="00467F01" w14:textId="77777777" w:rsidR="009D1DD4" w:rsidRDefault="009D1DD4">
      <w:pPr>
        <w:pStyle w:val="BodyText"/>
        <w:rPr>
          <w:sz w:val="20"/>
        </w:rPr>
      </w:pPr>
    </w:p>
    <w:p w14:paraId="2B82EA8F" w14:textId="77777777" w:rsidR="009D1DD4" w:rsidRDefault="009D1DD4">
      <w:pPr>
        <w:pStyle w:val="BodyText"/>
        <w:rPr>
          <w:sz w:val="20"/>
        </w:rPr>
      </w:pPr>
    </w:p>
    <w:p w14:paraId="586D3555" w14:textId="77777777" w:rsidR="009D1DD4" w:rsidRDefault="009D1DD4">
      <w:pPr>
        <w:pStyle w:val="BodyText"/>
        <w:rPr>
          <w:sz w:val="20"/>
        </w:rPr>
      </w:pPr>
    </w:p>
    <w:p w14:paraId="70A3EDBF" w14:textId="77777777" w:rsidR="009D1DD4" w:rsidRDefault="009D1DD4">
      <w:pPr>
        <w:pStyle w:val="BodyText"/>
        <w:rPr>
          <w:sz w:val="20"/>
        </w:rPr>
      </w:pPr>
    </w:p>
    <w:p w14:paraId="5BE4997E" w14:textId="77777777" w:rsidR="009D1DD4" w:rsidRDefault="009D1DD4">
      <w:pPr>
        <w:pStyle w:val="BodyText"/>
        <w:rPr>
          <w:sz w:val="20"/>
        </w:rPr>
      </w:pPr>
    </w:p>
    <w:p w14:paraId="6BE16032" w14:textId="77777777" w:rsidR="009D1DD4" w:rsidRDefault="009D1DD4">
      <w:pPr>
        <w:pStyle w:val="BodyText"/>
        <w:rPr>
          <w:sz w:val="20"/>
        </w:rPr>
      </w:pPr>
    </w:p>
    <w:p w14:paraId="40344DCF" w14:textId="77777777" w:rsidR="009D1DD4" w:rsidRDefault="000B3519">
      <w:pPr>
        <w:pStyle w:val="BodyText"/>
        <w:spacing w:before="4"/>
        <w:rPr>
          <w:sz w:val="10"/>
        </w:rPr>
      </w:pPr>
      <w:r>
        <w:pict w14:anchorId="73FC6095">
          <v:line id="_x0000_s1027" style="position:absolute;z-index:-251659264;mso-wrap-distance-left:0;mso-wrap-distance-right:0;mso-position-horizontal-relative:page" from="1in,8.35pt" to="328.55pt,8.35pt" strokeweight=".84pt">
            <w10:wrap type="topAndBottom" anchorx="page"/>
          </v:line>
        </w:pict>
      </w:r>
      <w:r>
        <w:pict w14:anchorId="34121A68">
          <v:line id="_x0000_s1026" style="position:absolute;z-index:-251658240;mso-wrap-distance-left:0;mso-wrap-distance-right:0;mso-position-horizontal-relative:page" from="387pt,8.35pt" to="7in,8.35pt" strokeweight=".84pt">
            <w10:wrap type="topAndBottom" anchorx="page"/>
          </v:line>
        </w:pict>
      </w:r>
    </w:p>
    <w:p w14:paraId="3199CA8D" w14:textId="77777777" w:rsidR="009D1DD4" w:rsidRDefault="0048327A">
      <w:pPr>
        <w:pStyle w:val="BodyText"/>
        <w:tabs>
          <w:tab w:val="left" w:pos="6419"/>
        </w:tabs>
        <w:spacing w:line="231" w:lineRule="exact"/>
        <w:ind w:left="120"/>
      </w:pPr>
      <w:r>
        <w:t>Employee</w:t>
      </w:r>
      <w:r>
        <w:rPr>
          <w:spacing w:val="-2"/>
        </w:rPr>
        <w:t xml:space="preserve"> </w:t>
      </w:r>
      <w:r>
        <w:t>Signature</w:t>
      </w:r>
      <w:r>
        <w:tab/>
        <w:t>Date</w:t>
      </w:r>
    </w:p>
    <w:sectPr w:rsidR="009D1DD4">
      <w:pgSz w:w="12240" w:h="15840"/>
      <w:pgMar w:top="15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17E77"/>
    <w:multiLevelType w:val="hybridMultilevel"/>
    <w:tmpl w:val="044E8FDC"/>
    <w:lvl w:ilvl="0" w:tplc="5CCA0720">
      <w:numFmt w:val="bullet"/>
      <w:lvlText w:val=""/>
      <w:lvlJc w:val="left"/>
      <w:pPr>
        <w:ind w:left="840" w:hanging="361"/>
      </w:pPr>
      <w:rPr>
        <w:rFonts w:ascii="Symbol" w:eastAsia="Symbol" w:hAnsi="Symbol" w:cs="Symbol" w:hint="default"/>
        <w:w w:val="100"/>
        <w:sz w:val="22"/>
        <w:szCs w:val="22"/>
        <w:lang w:val="en-US" w:eastAsia="en-US" w:bidi="en-US"/>
      </w:rPr>
    </w:lvl>
    <w:lvl w:ilvl="1" w:tplc="A00A10FC">
      <w:numFmt w:val="bullet"/>
      <w:lvlText w:val="•"/>
      <w:lvlJc w:val="left"/>
      <w:pPr>
        <w:ind w:left="1712" w:hanging="361"/>
      </w:pPr>
      <w:rPr>
        <w:rFonts w:hint="default"/>
        <w:lang w:val="en-US" w:eastAsia="en-US" w:bidi="en-US"/>
      </w:rPr>
    </w:lvl>
    <w:lvl w:ilvl="2" w:tplc="F92CA0B2">
      <w:numFmt w:val="bullet"/>
      <w:lvlText w:val="•"/>
      <w:lvlJc w:val="left"/>
      <w:pPr>
        <w:ind w:left="2584" w:hanging="361"/>
      </w:pPr>
      <w:rPr>
        <w:rFonts w:hint="default"/>
        <w:lang w:val="en-US" w:eastAsia="en-US" w:bidi="en-US"/>
      </w:rPr>
    </w:lvl>
    <w:lvl w:ilvl="3" w:tplc="5198844C">
      <w:numFmt w:val="bullet"/>
      <w:lvlText w:val="•"/>
      <w:lvlJc w:val="left"/>
      <w:pPr>
        <w:ind w:left="3456" w:hanging="361"/>
      </w:pPr>
      <w:rPr>
        <w:rFonts w:hint="default"/>
        <w:lang w:val="en-US" w:eastAsia="en-US" w:bidi="en-US"/>
      </w:rPr>
    </w:lvl>
    <w:lvl w:ilvl="4" w:tplc="EC80A0CA">
      <w:numFmt w:val="bullet"/>
      <w:lvlText w:val="•"/>
      <w:lvlJc w:val="left"/>
      <w:pPr>
        <w:ind w:left="4328" w:hanging="361"/>
      </w:pPr>
      <w:rPr>
        <w:rFonts w:hint="default"/>
        <w:lang w:val="en-US" w:eastAsia="en-US" w:bidi="en-US"/>
      </w:rPr>
    </w:lvl>
    <w:lvl w:ilvl="5" w:tplc="0CDE1496">
      <w:numFmt w:val="bullet"/>
      <w:lvlText w:val="•"/>
      <w:lvlJc w:val="left"/>
      <w:pPr>
        <w:ind w:left="5200" w:hanging="361"/>
      </w:pPr>
      <w:rPr>
        <w:rFonts w:hint="default"/>
        <w:lang w:val="en-US" w:eastAsia="en-US" w:bidi="en-US"/>
      </w:rPr>
    </w:lvl>
    <w:lvl w:ilvl="6" w:tplc="35F095CA">
      <w:numFmt w:val="bullet"/>
      <w:lvlText w:val="•"/>
      <w:lvlJc w:val="left"/>
      <w:pPr>
        <w:ind w:left="6072" w:hanging="361"/>
      </w:pPr>
      <w:rPr>
        <w:rFonts w:hint="default"/>
        <w:lang w:val="en-US" w:eastAsia="en-US" w:bidi="en-US"/>
      </w:rPr>
    </w:lvl>
    <w:lvl w:ilvl="7" w:tplc="FC54B4A0">
      <w:numFmt w:val="bullet"/>
      <w:lvlText w:val="•"/>
      <w:lvlJc w:val="left"/>
      <w:pPr>
        <w:ind w:left="6944" w:hanging="361"/>
      </w:pPr>
      <w:rPr>
        <w:rFonts w:hint="default"/>
        <w:lang w:val="en-US" w:eastAsia="en-US" w:bidi="en-US"/>
      </w:rPr>
    </w:lvl>
    <w:lvl w:ilvl="8" w:tplc="09CC10CC">
      <w:numFmt w:val="bullet"/>
      <w:lvlText w:val="•"/>
      <w:lvlJc w:val="left"/>
      <w:pPr>
        <w:ind w:left="7816" w:hanging="361"/>
      </w:pPr>
      <w:rPr>
        <w:rFonts w:hint="default"/>
        <w:lang w:val="en-US" w:eastAsia="en-US" w:bidi="en-US"/>
      </w:rPr>
    </w:lvl>
  </w:abstractNum>
  <w:abstractNum w:abstractNumId="1" w15:restartNumberingAfterBreak="0">
    <w:nsid w:val="738F7F36"/>
    <w:multiLevelType w:val="hybridMultilevel"/>
    <w:tmpl w:val="2CAE7AEA"/>
    <w:lvl w:ilvl="0" w:tplc="FF0C0692">
      <w:start w:val="1"/>
      <w:numFmt w:val="upperLetter"/>
      <w:lvlText w:val="%1."/>
      <w:lvlJc w:val="left"/>
      <w:pPr>
        <w:ind w:left="902" w:hanging="423"/>
        <w:jc w:val="left"/>
      </w:pPr>
      <w:rPr>
        <w:rFonts w:ascii="Arial" w:eastAsia="Arial" w:hAnsi="Arial" w:cs="Arial" w:hint="default"/>
        <w:b/>
        <w:bCs/>
        <w:spacing w:val="-6"/>
        <w:w w:val="100"/>
        <w:sz w:val="22"/>
        <w:szCs w:val="22"/>
        <w:lang w:val="en-US" w:eastAsia="en-US" w:bidi="en-US"/>
      </w:rPr>
    </w:lvl>
    <w:lvl w:ilvl="1" w:tplc="5994F4D2">
      <w:numFmt w:val="bullet"/>
      <w:lvlText w:val="•"/>
      <w:lvlJc w:val="left"/>
      <w:pPr>
        <w:ind w:left="1766" w:hanging="423"/>
      </w:pPr>
      <w:rPr>
        <w:rFonts w:hint="default"/>
        <w:lang w:val="en-US" w:eastAsia="en-US" w:bidi="en-US"/>
      </w:rPr>
    </w:lvl>
    <w:lvl w:ilvl="2" w:tplc="B6EAB3FE">
      <w:numFmt w:val="bullet"/>
      <w:lvlText w:val="•"/>
      <w:lvlJc w:val="left"/>
      <w:pPr>
        <w:ind w:left="2632" w:hanging="423"/>
      </w:pPr>
      <w:rPr>
        <w:rFonts w:hint="default"/>
        <w:lang w:val="en-US" w:eastAsia="en-US" w:bidi="en-US"/>
      </w:rPr>
    </w:lvl>
    <w:lvl w:ilvl="3" w:tplc="A0649538">
      <w:numFmt w:val="bullet"/>
      <w:lvlText w:val="•"/>
      <w:lvlJc w:val="left"/>
      <w:pPr>
        <w:ind w:left="3498" w:hanging="423"/>
      </w:pPr>
      <w:rPr>
        <w:rFonts w:hint="default"/>
        <w:lang w:val="en-US" w:eastAsia="en-US" w:bidi="en-US"/>
      </w:rPr>
    </w:lvl>
    <w:lvl w:ilvl="4" w:tplc="F982BA98">
      <w:numFmt w:val="bullet"/>
      <w:lvlText w:val="•"/>
      <w:lvlJc w:val="left"/>
      <w:pPr>
        <w:ind w:left="4364" w:hanging="423"/>
      </w:pPr>
      <w:rPr>
        <w:rFonts w:hint="default"/>
        <w:lang w:val="en-US" w:eastAsia="en-US" w:bidi="en-US"/>
      </w:rPr>
    </w:lvl>
    <w:lvl w:ilvl="5" w:tplc="D032A170">
      <w:numFmt w:val="bullet"/>
      <w:lvlText w:val="•"/>
      <w:lvlJc w:val="left"/>
      <w:pPr>
        <w:ind w:left="5230" w:hanging="423"/>
      </w:pPr>
      <w:rPr>
        <w:rFonts w:hint="default"/>
        <w:lang w:val="en-US" w:eastAsia="en-US" w:bidi="en-US"/>
      </w:rPr>
    </w:lvl>
    <w:lvl w:ilvl="6" w:tplc="E37C9D0E">
      <w:numFmt w:val="bullet"/>
      <w:lvlText w:val="•"/>
      <w:lvlJc w:val="left"/>
      <w:pPr>
        <w:ind w:left="6096" w:hanging="423"/>
      </w:pPr>
      <w:rPr>
        <w:rFonts w:hint="default"/>
        <w:lang w:val="en-US" w:eastAsia="en-US" w:bidi="en-US"/>
      </w:rPr>
    </w:lvl>
    <w:lvl w:ilvl="7" w:tplc="8C82BD9A">
      <w:numFmt w:val="bullet"/>
      <w:lvlText w:val="•"/>
      <w:lvlJc w:val="left"/>
      <w:pPr>
        <w:ind w:left="6962" w:hanging="423"/>
      </w:pPr>
      <w:rPr>
        <w:rFonts w:hint="default"/>
        <w:lang w:val="en-US" w:eastAsia="en-US" w:bidi="en-US"/>
      </w:rPr>
    </w:lvl>
    <w:lvl w:ilvl="8" w:tplc="68E6A868">
      <w:numFmt w:val="bullet"/>
      <w:lvlText w:val="•"/>
      <w:lvlJc w:val="left"/>
      <w:pPr>
        <w:ind w:left="7828" w:hanging="423"/>
      </w:pPr>
      <w:rPr>
        <w:rFonts w:hint="default"/>
        <w:lang w:val="en-US" w:eastAsia="en-US" w:bidi="en-US"/>
      </w:rPr>
    </w:lvl>
  </w:abstractNum>
  <w:abstractNum w:abstractNumId="2" w15:restartNumberingAfterBreak="0">
    <w:nsid w:val="7C077221"/>
    <w:multiLevelType w:val="hybridMultilevel"/>
    <w:tmpl w:val="8CCA9326"/>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9D1DD4"/>
    <w:rsid w:val="000B3519"/>
    <w:rsid w:val="000C2251"/>
    <w:rsid w:val="001A4D38"/>
    <w:rsid w:val="001D3AD7"/>
    <w:rsid w:val="003C6404"/>
    <w:rsid w:val="0048327A"/>
    <w:rsid w:val="00495792"/>
    <w:rsid w:val="00774725"/>
    <w:rsid w:val="009D1DD4"/>
    <w:rsid w:val="00D43B22"/>
    <w:rsid w:val="00DB44DB"/>
    <w:rsid w:val="00ED4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2052650"/>
  <w15:docId w15:val="{9495A9CC-C0D2-4213-B8CF-04011E17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B44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4DB"/>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DB44DB"/>
    <w:rPr>
      <w:sz w:val="16"/>
      <w:szCs w:val="16"/>
    </w:rPr>
  </w:style>
  <w:style w:type="paragraph" w:styleId="CommentText">
    <w:name w:val="annotation text"/>
    <w:basedOn w:val="Normal"/>
    <w:link w:val="CommentTextChar"/>
    <w:uiPriority w:val="99"/>
    <w:semiHidden/>
    <w:unhideWhenUsed/>
    <w:rsid w:val="00DB44DB"/>
    <w:rPr>
      <w:sz w:val="20"/>
      <w:szCs w:val="20"/>
    </w:rPr>
  </w:style>
  <w:style w:type="character" w:customStyle="1" w:styleId="CommentTextChar">
    <w:name w:val="Comment Text Char"/>
    <w:basedOn w:val="DefaultParagraphFont"/>
    <w:link w:val="CommentText"/>
    <w:uiPriority w:val="99"/>
    <w:semiHidden/>
    <w:rsid w:val="00DB44DB"/>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DB44DB"/>
    <w:rPr>
      <w:b/>
      <w:bCs/>
    </w:rPr>
  </w:style>
  <w:style w:type="character" w:customStyle="1" w:styleId="CommentSubjectChar">
    <w:name w:val="Comment Subject Char"/>
    <w:basedOn w:val="CommentTextChar"/>
    <w:link w:val="CommentSubject"/>
    <w:uiPriority w:val="99"/>
    <w:semiHidden/>
    <w:rsid w:val="00DB44DB"/>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Fong</dc:creator>
  <cp:lastModifiedBy>Ochoa, Isabel (CON)</cp:lastModifiedBy>
  <cp:revision>7</cp:revision>
  <dcterms:created xsi:type="dcterms:W3CDTF">2020-03-13T20:29:00Z</dcterms:created>
  <dcterms:modified xsi:type="dcterms:W3CDTF">2020-03-19T22:31:00Z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Acrobat PDFMaker 11 for Word</vt:lpwstr>
  </property>
  <property fmtid="{D5CDD505-2E9C-101B-9397-08002B2CF9AE}" pid="4" name="LastSaved">
    <vt:filetime>2020-03-13T00:00:00Z</vt:filetime>
  </property>
</Properties>
</file>